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32"/>
          <w:szCs w:val="32"/>
        </w:rPr>
      </w:pPr>
      <w:r>
        <w:rPr>
          <w:rFonts w:hint="eastAsia" w:eastAsia="宋体"/>
          <w:b/>
          <w:sz w:val="32"/>
          <w:szCs w:val="32"/>
        </w:rPr>
        <w:t>湖南农业大学东方科技学院20</w:t>
      </w:r>
      <w:r>
        <w:rPr>
          <w:rFonts w:hint="eastAsia" w:eastAsia="宋体"/>
          <w:b/>
          <w:sz w:val="32"/>
          <w:szCs w:val="32"/>
        </w:rPr>
        <w:t>23</w:t>
      </w:r>
      <w:r>
        <w:rPr>
          <w:rFonts w:hint="eastAsia" w:eastAsia="宋体"/>
          <w:b/>
          <w:sz w:val="32"/>
          <w:szCs w:val="32"/>
        </w:rPr>
        <w:t>年“专升本”</w:t>
      </w:r>
      <w:bookmarkStart w:id="0" w:name="_GoBack"/>
      <w:bookmarkEnd w:id="0"/>
      <w:r>
        <w:rPr>
          <w:rFonts w:hint="eastAsia" w:eastAsia="宋体"/>
          <w:b/>
          <w:sz w:val="32"/>
          <w:szCs w:val="32"/>
        </w:rPr>
        <w:t>考试</w:t>
      </w:r>
    </w:p>
    <w:p>
      <w:pPr>
        <w:jc w:val="center"/>
        <w:rPr>
          <w:rFonts w:hint="eastAsia" w:eastAsia="宋体"/>
          <w:b/>
          <w:sz w:val="32"/>
          <w:szCs w:val="32"/>
        </w:rPr>
      </w:pPr>
      <w:r>
        <w:rPr>
          <w:rFonts w:hint="eastAsia" w:eastAsia="宋体"/>
          <w:b/>
          <w:sz w:val="32"/>
          <w:szCs w:val="32"/>
        </w:rPr>
        <w:t>《水工建筑物》课程考试大纲</w:t>
      </w: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参考教材 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《水工建筑物》（第2版）闫滨、颜宏亮主编，中国水利水电出版社</w:t>
      </w:r>
    </w:p>
    <w:p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考试方式    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闭卷考试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题型：填空题、选择题（或判断题）、名词解释、简答题、综述题（或计算题）</w:t>
      </w:r>
    </w:p>
    <w:p>
      <w:pPr>
        <w:numPr>
          <w:ilvl w:val="0"/>
          <w:numId w:val="2"/>
        </w:numPr>
        <w:spacing w:line="440" w:lineRule="exac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考试大纲</w:t>
      </w:r>
    </w:p>
    <w:p>
      <w:pPr>
        <w:spacing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　　</w:t>
      </w:r>
      <w:r>
        <w:rPr>
          <w:rFonts w:hint="eastAsia" w:ascii="宋体" w:hAnsi="宋体" w:eastAsia="宋体"/>
          <w:b/>
          <w:sz w:val="28"/>
          <w:szCs w:val="28"/>
        </w:rPr>
        <w:t>第1章  绪</w:t>
      </w:r>
      <w:r>
        <w:rPr>
          <w:rFonts w:ascii="宋体" w:hAnsi="宋体" w:eastAsia="宋体"/>
          <w:b/>
          <w:sz w:val="28"/>
          <w:szCs w:val="28"/>
        </w:rPr>
        <w:t xml:space="preserve">  </w:t>
      </w:r>
      <w:r>
        <w:rPr>
          <w:rFonts w:hint="eastAsia" w:ascii="宋体" w:hAnsi="宋体" w:eastAsia="宋体"/>
          <w:b/>
          <w:sz w:val="28"/>
          <w:szCs w:val="28"/>
        </w:rPr>
        <w:t>论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1、水利工程的分类；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2、水利枢纽的组成，水工建筑物分类、作用和特点；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3、水利枢纽分等和水工建筑物分级；</w:t>
      </w:r>
    </w:p>
    <w:p>
      <w:pPr>
        <w:pStyle w:val="2"/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rFonts w:ascii="宋体" w:hAnsi="宋体"/>
          <w:sz w:val="24"/>
          <w:szCs w:val="24"/>
        </w:rPr>
        <w:t>水利枢纽和水工建筑物的概念。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1、了解我国的水资源状况和水利工程的分类；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2、了解水利工程建设成就与发展；了解可持续发展的概念；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3、掌握水利枢纽的组成，水工建筑物的分类、作用和特点；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4、了解水利枢纽分等和水工建筑物分级。</w:t>
      </w:r>
    </w:p>
    <w:p>
      <w:pPr>
        <w:pStyle w:val="2"/>
        <w:spacing w:line="440" w:lineRule="exact"/>
        <w:ind w:firstLine="0"/>
        <w:rPr>
          <w:rFonts w:ascii="宋体" w:hAnsi="宋体"/>
          <w:sz w:val="24"/>
          <w:szCs w:val="24"/>
        </w:rPr>
      </w:pPr>
    </w:p>
    <w:p>
      <w:pPr>
        <w:spacing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第2章  岩基上的重力坝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重力坝的工作原理和工作特点；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各种工况下荷载计算及其组合；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重力坝抗滑稳定分析；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溢流重力坝消能型式及适用条件；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重力坝构造和混凝土分区；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岩石地基的处理措施；</w:t>
      </w:r>
    </w:p>
    <w:p>
      <w:pPr>
        <w:pStyle w:val="3"/>
        <w:numPr>
          <w:ilvl w:val="0"/>
          <w:numId w:val="3"/>
        </w:numPr>
        <w:adjustRightInd/>
        <w:snapToGrid/>
        <w:spacing w:line="440" w:lineRule="exact"/>
        <w:ind w:firstLineChars="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扬压力、帷幕灌浆、固结灌浆的概念。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掌握重力坝的工作原理和工作特点；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理解各种工况下荷载计算及其荷载组合；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理解重力坝稳定分析及强度分析方法、掌握提高坝体抗滑稳定工程措施和应力控制标准；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掌握溢流重力坝消能型式及适用条件；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了解重力坝构造和混凝土分区的依据；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理解岩石地基的处理措施；</w:t>
      </w:r>
    </w:p>
    <w:p>
      <w:pPr>
        <w:pStyle w:val="3"/>
        <w:numPr>
          <w:ilvl w:val="0"/>
          <w:numId w:val="4"/>
        </w:numPr>
        <w:adjustRightInd/>
        <w:snapToGrid/>
        <w:spacing w:line="440" w:lineRule="exact"/>
        <w:ind w:firstLineChars="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了解其他型式的重力坝。</w:t>
      </w:r>
    </w:p>
    <w:p>
      <w:pPr>
        <w:pStyle w:val="3"/>
        <w:numPr>
          <w:ilvl w:val="0"/>
          <w:numId w:val="0"/>
        </w:numPr>
        <w:adjustRightInd/>
        <w:snapToGrid/>
        <w:spacing w:line="440" w:lineRule="exact"/>
        <w:ind w:left="420" w:leftChars="0"/>
        <w:rPr>
          <w:rFonts w:hAnsi="宋体" w:cs="Times New Roman"/>
          <w:sz w:val="24"/>
          <w:szCs w:val="24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第3章  拱  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拱坝的工作原理、拱坝的构造及其特点；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拱坝对地质地形的要求、拱坝的类型、拱坝的布置和拱坝的泄洪方式；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拱坝的荷载计算、拱坝</w:t>
      </w:r>
      <w:r>
        <w:rPr>
          <w:rFonts w:ascii="宋体" w:hAnsi="宋体" w:eastAsia="宋体"/>
        </w:rPr>
        <w:t>应力与</w:t>
      </w:r>
      <w:r>
        <w:rPr>
          <w:rFonts w:hint="eastAsia" w:ascii="宋体" w:hAnsi="宋体" w:eastAsia="宋体"/>
        </w:rPr>
        <w:t>坝肩稳定分析</w:t>
      </w:r>
      <w:r>
        <w:rPr>
          <w:rFonts w:ascii="宋体" w:hAnsi="宋体" w:eastAsia="宋体"/>
        </w:rPr>
        <w:t>方法</w:t>
      </w:r>
      <w:r>
        <w:rPr>
          <w:rFonts w:hint="eastAsia" w:ascii="宋体" w:hAnsi="宋体" w:eastAsia="宋体"/>
        </w:rPr>
        <w:t>；</w:t>
      </w:r>
    </w:p>
    <w:p>
      <w:pPr>
        <w:numPr>
          <w:ilvl w:val="0"/>
          <w:numId w:val="5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纯拱法、拱冠梁法、拱梁分载法、</w:t>
      </w:r>
      <w:r>
        <w:rPr>
          <w:rFonts w:ascii="宋体" w:hAnsi="宋体" w:eastAsia="宋体"/>
        </w:rPr>
        <w:t>重力墩</w:t>
      </w:r>
      <w:r>
        <w:rPr>
          <w:rFonts w:hint="eastAsia" w:ascii="宋体" w:hAnsi="宋体" w:eastAsia="宋体"/>
        </w:rPr>
        <w:t>的概念。</w:t>
      </w:r>
    </w:p>
    <w:p>
      <w:pPr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掌握拱坝的工作原理、构造及其特点；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理解拱坝对地质地形的要求、了解拱坝的类型、拱坝的布置、拱坝的泄洪方式；</w:t>
      </w:r>
    </w:p>
    <w:p>
      <w:pPr>
        <w:numPr>
          <w:ilvl w:val="0"/>
          <w:numId w:val="6"/>
        </w:numPr>
        <w:spacing w:line="440" w:lineRule="exac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了解拱坝的荷载及计算方法，理解</w:t>
      </w:r>
      <w:r>
        <w:rPr>
          <w:rFonts w:ascii="宋体" w:hAnsi="宋体" w:eastAsia="宋体"/>
        </w:rPr>
        <w:t>温度荷载对拱坝的影响，</w:t>
      </w:r>
      <w:r>
        <w:rPr>
          <w:rFonts w:hint="eastAsia" w:ascii="宋体" w:hAnsi="宋体" w:eastAsia="宋体"/>
        </w:rPr>
        <w:t>了解拱坝的应力分析方法和坝肩稳定分析方法。</w:t>
      </w:r>
    </w:p>
    <w:p>
      <w:pPr>
        <w:numPr>
          <w:ilvl w:val="0"/>
          <w:numId w:val="0"/>
        </w:numPr>
        <w:spacing w:line="440" w:lineRule="exact"/>
        <w:ind w:left="335" w:leftChars="0"/>
        <w:rPr>
          <w:rFonts w:ascii="宋体" w:hAnsi="宋体" w:eastAsia="宋体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第4章  土石坝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1、土石坝的类型、构造和</w:t>
      </w:r>
      <w:r>
        <w:rPr>
          <w:rFonts w:ascii="宋体" w:hAnsi="宋体"/>
          <w:sz w:val="24"/>
          <w:szCs w:val="24"/>
        </w:rPr>
        <w:t>工作</w:t>
      </w:r>
      <w:r>
        <w:rPr>
          <w:rFonts w:hint="eastAsia" w:ascii="宋体" w:hAnsi="宋体"/>
          <w:sz w:val="24"/>
          <w:szCs w:val="24"/>
        </w:rPr>
        <w:t>特点；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2、土石料设计的基本原则和方法；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3、土石坝的渗流分析；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4、土石坝的稳定分析；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5、土石坝坝基处理；</w:t>
      </w:r>
    </w:p>
    <w:p>
      <w:pPr>
        <w:pStyle w:val="2"/>
        <w:tabs>
          <w:tab w:val="left" w:pos="735"/>
        </w:tabs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6、流土、管涌、反滤层、过渡层的概念。</w:t>
      </w:r>
    </w:p>
    <w:p>
      <w:pPr>
        <w:tabs>
          <w:tab w:val="left" w:pos="562"/>
        </w:tabs>
        <w:spacing w:line="440" w:lineRule="exact"/>
        <w:ind w:hanging="164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1、掌握土石坝的类型、构造与</w:t>
      </w:r>
      <w:r>
        <w:rPr>
          <w:rFonts w:ascii="宋体" w:hAnsi="宋体"/>
          <w:sz w:val="24"/>
          <w:szCs w:val="24"/>
        </w:rPr>
        <w:t>工作特点</w:t>
      </w:r>
      <w:r>
        <w:rPr>
          <w:rFonts w:hint="eastAsia" w:ascii="宋体" w:hAnsi="宋体"/>
          <w:sz w:val="24"/>
          <w:szCs w:val="24"/>
        </w:rPr>
        <w:t>，了解土石坝设计要求，掌握土石坝的防渗与排水设施；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2、掌握土石料设计的基本原则和方法，理解不同部位对土石料的要求（包括材料选择和填筑标准）；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3、了解土石坝的渗流分析的基本原理和方法，掌握防止渗透变形的工程措施；</w:t>
      </w:r>
    </w:p>
    <w:p>
      <w:pPr>
        <w:pStyle w:val="2"/>
        <w:tabs>
          <w:tab w:val="left" w:pos="735"/>
        </w:tabs>
        <w:spacing w:line="440" w:lineRule="exact"/>
        <w:ind w:left="898" w:leftChars="174" w:hanging="480" w:hanging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4、了解坝坡稳定分析方法，</w:t>
      </w:r>
      <w:r>
        <w:rPr>
          <w:rFonts w:ascii="宋体" w:hAnsi="宋体"/>
          <w:sz w:val="24"/>
          <w:szCs w:val="24"/>
        </w:rPr>
        <w:t>掌握</w:t>
      </w:r>
      <w:r>
        <w:rPr>
          <w:rFonts w:hint="eastAsia" w:ascii="宋体" w:hAnsi="宋体"/>
          <w:bCs/>
          <w:sz w:val="24"/>
          <w:szCs w:val="24"/>
        </w:rPr>
        <w:t>提高土石坝坝坡稳定的工程措施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tabs>
          <w:tab w:val="left" w:pos="735"/>
        </w:tabs>
        <w:spacing w:line="44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5、了解其它型式的土石坝。</w:t>
      </w:r>
    </w:p>
    <w:p>
      <w:pPr>
        <w:pStyle w:val="2"/>
        <w:tabs>
          <w:tab w:val="left" w:pos="735"/>
        </w:tabs>
        <w:spacing w:line="440" w:lineRule="exact"/>
        <w:rPr>
          <w:rFonts w:hint="eastAsia"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章</w:t>
      </w:r>
      <w:r>
        <w:rPr>
          <w:rFonts w:ascii="宋体" w:hAnsi="宋体" w:eastAsia="宋体"/>
          <w:b/>
          <w:sz w:val="28"/>
          <w:szCs w:val="28"/>
        </w:rPr>
        <w:t xml:space="preserve">   </w:t>
      </w:r>
      <w:r>
        <w:rPr>
          <w:rFonts w:hint="eastAsia" w:ascii="宋体" w:hAnsi="宋体" w:eastAsia="宋体"/>
          <w:b/>
          <w:sz w:val="28"/>
          <w:szCs w:val="28"/>
        </w:rPr>
        <w:t>岸边溢洪道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1、河岸溢洪道的作用、类型和运用条件；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2、正槽溢洪道组成，特点和适用条件；</w:t>
      </w:r>
    </w:p>
    <w:p>
      <w:pPr>
        <w:pStyle w:val="2"/>
        <w:spacing w:line="440" w:lineRule="exact"/>
        <w:ind w:left="397" w:firstLine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3、侧槽溢洪道和非常溢洪道。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1、掌握河岸溢洪道的作用、类型和运用条件；</w:t>
      </w:r>
    </w:p>
    <w:p>
      <w:pPr>
        <w:pStyle w:val="2"/>
        <w:spacing w:line="440" w:lineRule="exact"/>
        <w:ind w:left="742" w:leftChars="174" w:hanging="324" w:hangingChars="135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2、掌握正槽溢洪道组成、溢流堰的布置、泄槽的水流特点，理解正槽溢洪道特点和适用条件；</w:t>
      </w:r>
    </w:p>
    <w:p>
      <w:pPr>
        <w:pStyle w:val="2"/>
        <w:spacing w:line="440" w:lineRule="exact"/>
        <w:ind w:left="335" w:firstLine="96" w:firstLineChars="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3、了解侧槽溢洪道的基本原理，了解非常溢洪道设施。</w:t>
      </w:r>
    </w:p>
    <w:p>
      <w:pPr>
        <w:pStyle w:val="2"/>
        <w:spacing w:line="440" w:lineRule="exact"/>
        <w:ind w:left="335" w:firstLine="96" w:firstLineChars="40"/>
        <w:rPr>
          <w:rFonts w:ascii="宋体" w:hAnsi="宋体"/>
          <w:sz w:val="24"/>
          <w:szCs w:val="24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章</w:t>
      </w:r>
      <w:r>
        <w:rPr>
          <w:rFonts w:ascii="宋体" w:hAnsi="宋体" w:eastAsia="宋体"/>
          <w:b/>
          <w:sz w:val="28"/>
          <w:szCs w:val="28"/>
        </w:rPr>
        <w:t xml:space="preserve">   </w:t>
      </w:r>
      <w:r>
        <w:rPr>
          <w:rFonts w:hint="eastAsia" w:ascii="宋体" w:hAnsi="宋体" w:eastAsia="宋体"/>
          <w:b/>
          <w:sz w:val="28"/>
          <w:szCs w:val="28"/>
        </w:rPr>
        <w:t>水工隧洞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水工隧洞的功用、类型、组成和工作特点；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进口建筑物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型式和特点，隧洞消能方式；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水工隧洞的洞身断面型式与构造；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隧洞线路的选择；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洞身衬砌计算；</w:t>
      </w:r>
    </w:p>
    <w:p>
      <w:pPr>
        <w:pStyle w:val="2"/>
        <w:numPr>
          <w:ilvl w:val="0"/>
          <w:numId w:val="7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回填灌浆、围岩（山岩）压力、</w:t>
      </w:r>
      <w:r>
        <w:rPr>
          <w:rFonts w:ascii="宋体" w:hAnsi="宋体"/>
          <w:sz w:val="24"/>
          <w:szCs w:val="24"/>
        </w:rPr>
        <w:t>弹性抗力</w:t>
      </w:r>
      <w:r>
        <w:rPr>
          <w:rFonts w:hint="eastAsia" w:ascii="宋体" w:hAnsi="宋体"/>
          <w:sz w:val="24"/>
          <w:szCs w:val="24"/>
        </w:rPr>
        <w:t>和</w:t>
      </w:r>
      <w:r>
        <w:rPr>
          <w:rFonts w:ascii="宋体" w:hAnsi="宋体"/>
          <w:sz w:val="24"/>
          <w:szCs w:val="24"/>
        </w:rPr>
        <w:t>新奥法</w:t>
      </w:r>
      <w:r>
        <w:rPr>
          <w:rFonts w:hint="eastAsia" w:ascii="宋体" w:hAnsi="宋体"/>
          <w:sz w:val="24"/>
          <w:szCs w:val="24"/>
        </w:rPr>
        <w:t>的概念。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掌握水工隧洞的功用、类型和组成，理解水工</w:t>
      </w:r>
      <w:r>
        <w:rPr>
          <w:rFonts w:ascii="宋体" w:hAnsi="宋体"/>
          <w:sz w:val="24"/>
          <w:szCs w:val="24"/>
        </w:rPr>
        <w:t>隧洞的</w:t>
      </w:r>
      <w:r>
        <w:rPr>
          <w:rFonts w:hint="eastAsia" w:ascii="宋体" w:hAnsi="宋体"/>
          <w:sz w:val="24"/>
          <w:szCs w:val="24"/>
        </w:rPr>
        <w:t>工作特点；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理解水工隧洞的组成部分，主要是进口建筑物的形式和特点、隧洞水力消能方式的适用性和选择，理解洞身断面型式和衬砌型式的选择；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掌握水工隧洞的构造，理解隧洞衬砌的分缝原则和止水措施；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了解隧洞线路的选择和多用途隧洞的布置；</w:t>
      </w:r>
    </w:p>
    <w:p>
      <w:pPr>
        <w:pStyle w:val="2"/>
        <w:numPr>
          <w:ilvl w:val="0"/>
          <w:numId w:val="8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了解水工隧洞荷载计算和荷载组合，了解有压隧洞衬砌计算方法。</w:t>
      </w:r>
    </w:p>
    <w:p>
      <w:pPr>
        <w:pStyle w:val="2"/>
        <w:numPr>
          <w:ilvl w:val="0"/>
          <w:numId w:val="0"/>
        </w:numPr>
        <w:spacing w:line="440" w:lineRule="exact"/>
        <w:ind w:left="397" w:leftChars="0"/>
        <w:rPr>
          <w:rFonts w:ascii="宋体" w:hAnsi="宋体"/>
          <w:sz w:val="24"/>
          <w:szCs w:val="24"/>
        </w:rPr>
      </w:pPr>
    </w:p>
    <w:p>
      <w:pPr>
        <w:pStyle w:val="2"/>
        <w:spacing w:line="440" w:lineRule="exact"/>
        <w:ind w:firstLine="0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</w:t>
      </w:r>
      <w:r>
        <w:rPr>
          <w:rFonts w:ascii="宋体" w:hAnsi="宋体"/>
          <w:b/>
          <w:sz w:val="28"/>
          <w:szCs w:val="28"/>
        </w:rPr>
        <w:t>7</w:t>
      </w:r>
      <w:r>
        <w:rPr>
          <w:rFonts w:hint="eastAsia" w:ascii="宋体" w:hAnsi="宋体"/>
          <w:b/>
          <w:sz w:val="28"/>
          <w:szCs w:val="28"/>
        </w:rPr>
        <w:t>章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水  闸</w:t>
      </w:r>
    </w:p>
    <w:p>
      <w:pPr>
        <w:tabs>
          <w:tab w:val="left" w:pos="562"/>
        </w:tabs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水闸的类型、组成与作用，水闸的工作特点，闸址选择及孔口设计；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水闸的消能防冲与防护设计；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闸基防渗与排水设计；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闸室的稳定分析与</w:t>
      </w:r>
      <w:r>
        <w:rPr>
          <w:rFonts w:ascii="宋体" w:hAnsi="宋体"/>
          <w:sz w:val="24"/>
          <w:szCs w:val="24"/>
        </w:rPr>
        <w:t>地基处理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闸室</w:t>
      </w:r>
      <w:r>
        <w:rPr>
          <w:rFonts w:ascii="宋体" w:hAnsi="宋体"/>
          <w:sz w:val="24"/>
          <w:szCs w:val="24"/>
        </w:rPr>
        <w:t>的结构计算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水闸与两岸建筑物的连接方式；</w:t>
      </w:r>
    </w:p>
    <w:p>
      <w:pPr>
        <w:pStyle w:val="2"/>
        <w:numPr>
          <w:ilvl w:val="0"/>
          <w:numId w:val="9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地下轮廓线、海漫、</w:t>
      </w:r>
      <w:r>
        <w:rPr>
          <w:rFonts w:ascii="宋体" w:hAnsi="宋体"/>
          <w:sz w:val="24"/>
          <w:szCs w:val="24"/>
        </w:rPr>
        <w:t>波状水跃和折冲水流</w:t>
      </w:r>
      <w:r>
        <w:rPr>
          <w:rFonts w:hint="eastAsia" w:ascii="宋体" w:hAnsi="宋体"/>
          <w:sz w:val="24"/>
          <w:szCs w:val="24"/>
        </w:rPr>
        <w:t>的概念。</w:t>
      </w:r>
    </w:p>
    <w:p>
      <w:pPr>
        <w:tabs>
          <w:tab w:val="left" w:pos="562"/>
        </w:tabs>
        <w:spacing w:line="440" w:lineRule="exact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掌握水闸的类型，水闸的组成部分及其作用，理解水闸的工作特点；了解如何进行闸址选择和闸孔设计；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掌握水闸的消能防冲与防护设计，尤其是底流消能的设计方法；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了解闸基防渗排水设计及闸基的渗流计算方法，了解流网法和直线比例法的计算方法；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掌握沿闸室</w:t>
      </w:r>
      <w:r>
        <w:rPr>
          <w:rFonts w:ascii="宋体" w:hAnsi="宋体"/>
          <w:sz w:val="24"/>
          <w:szCs w:val="24"/>
        </w:rPr>
        <w:t>的</w:t>
      </w:r>
      <w:r>
        <w:rPr>
          <w:rFonts w:hint="eastAsia" w:ascii="宋体" w:hAnsi="宋体"/>
          <w:sz w:val="24"/>
          <w:szCs w:val="24"/>
        </w:rPr>
        <w:t>稳定计算方法及提高抗滑稳定的工程措施，了解闸室的结构计算方法；</w:t>
      </w:r>
    </w:p>
    <w:p>
      <w:pPr>
        <w:pStyle w:val="2"/>
        <w:numPr>
          <w:ilvl w:val="0"/>
          <w:numId w:val="10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了解水闸与两岸连接建筑物的型式及特点。</w:t>
      </w:r>
    </w:p>
    <w:p>
      <w:pPr>
        <w:spacing w:before="120" w:line="440" w:lineRule="exact"/>
        <w:jc w:val="center"/>
        <w:rPr>
          <w:rFonts w:ascii="宋体" w:hAnsi="宋体" w:eastAsia="宋体"/>
          <w:b/>
          <w:sz w:val="28"/>
          <w:szCs w:val="28"/>
        </w:rPr>
      </w:pPr>
    </w:p>
    <w:p>
      <w:pPr>
        <w:spacing w:before="120" w:line="440" w:lineRule="exact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第</w:t>
      </w:r>
      <w:r>
        <w:rPr>
          <w:rFonts w:ascii="宋体" w:hAnsi="宋体" w:eastAsia="宋体"/>
          <w:b/>
          <w:sz w:val="28"/>
          <w:szCs w:val="28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章  过坝建筑物</w:t>
      </w: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考核知识点：</w:t>
      </w:r>
    </w:p>
    <w:p>
      <w:pPr>
        <w:pStyle w:val="2"/>
        <w:numPr>
          <w:ilvl w:val="0"/>
          <w:numId w:val="11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过坝建筑物；</w:t>
      </w:r>
    </w:p>
    <w:p>
      <w:pPr>
        <w:pStyle w:val="2"/>
        <w:numPr>
          <w:ilvl w:val="0"/>
          <w:numId w:val="11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通航建筑物；</w:t>
      </w:r>
    </w:p>
    <w:p>
      <w:pPr>
        <w:pStyle w:val="2"/>
        <w:numPr>
          <w:ilvl w:val="0"/>
          <w:numId w:val="11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过木、过鱼建筑物。</w:t>
      </w:r>
    </w:p>
    <w:p>
      <w:pPr>
        <w:spacing w:line="440" w:lineRule="exact"/>
        <w:ind w:left="397" w:hanging="397"/>
        <w:rPr>
          <w:rFonts w:hint="eastAsia" w:ascii="宋体" w:hAnsi="宋体" w:eastAsia="宋体"/>
          <w:b/>
        </w:rPr>
      </w:pPr>
    </w:p>
    <w:p>
      <w:pPr>
        <w:spacing w:line="440" w:lineRule="exact"/>
        <w:ind w:left="397" w:hanging="397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考核要求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了解过坝建筑物的类型及适用条件；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了解通航建筑物的类型及适用条件，掌握船闸的工作原理与</w:t>
      </w:r>
      <w:r>
        <w:rPr>
          <w:rFonts w:ascii="宋体" w:hAnsi="宋体"/>
          <w:sz w:val="24"/>
          <w:szCs w:val="24"/>
        </w:rPr>
        <w:t>船闸布置的基本原则</w:t>
      </w:r>
      <w:r>
        <w:rPr>
          <w:rFonts w:hint="eastAsia" w:ascii="宋体" w:hAnsi="宋体"/>
          <w:sz w:val="24"/>
          <w:szCs w:val="24"/>
        </w:rPr>
        <w:t>；</w:t>
      </w:r>
    </w:p>
    <w:p>
      <w:pPr>
        <w:pStyle w:val="2"/>
        <w:numPr>
          <w:ilvl w:val="0"/>
          <w:numId w:val="12"/>
        </w:numPr>
        <w:spacing w:line="44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了解过木、过鱼建筑物的类型和组成。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F4E2E"/>
    <w:multiLevelType w:val="singleLevel"/>
    <w:tmpl w:val="BFCF4E2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25B1E9D"/>
    <w:multiLevelType w:val="multilevel"/>
    <w:tmpl w:val="025B1E9D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15"/>
        </w:tabs>
        <w:ind w:left="840" w:hanging="36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535"/>
        </w:tabs>
        <w:ind w:left="1535" w:hanging="36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2">
    <w:nsid w:val="3A4A7814"/>
    <w:multiLevelType w:val="multilevel"/>
    <w:tmpl w:val="3A4A7814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3">
    <w:nsid w:val="3FF00FE0"/>
    <w:multiLevelType w:val="multilevel"/>
    <w:tmpl w:val="3FF00FE0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4">
    <w:nsid w:val="454331D8"/>
    <w:multiLevelType w:val="singleLevel"/>
    <w:tmpl w:val="454331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BDE3E9B"/>
    <w:multiLevelType w:val="multilevel"/>
    <w:tmpl w:val="4BDE3E9B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6">
    <w:nsid w:val="4C8377B5"/>
    <w:multiLevelType w:val="multilevel"/>
    <w:tmpl w:val="4C8377B5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7">
    <w:nsid w:val="582310B9"/>
    <w:multiLevelType w:val="multilevel"/>
    <w:tmpl w:val="582310B9"/>
    <w:lvl w:ilvl="0" w:tentative="0">
      <w:start w:val="1"/>
      <w:numFmt w:val="decimal"/>
      <w:lvlText w:val="%1、"/>
      <w:lvlJc w:val="left"/>
      <w:pPr>
        <w:tabs>
          <w:tab w:val="left" w:pos="695"/>
        </w:tabs>
        <w:ind w:left="695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75"/>
        </w:tabs>
        <w:ind w:left="11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95"/>
        </w:tabs>
        <w:ind w:left="15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015"/>
        </w:tabs>
        <w:ind w:left="20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35"/>
        </w:tabs>
        <w:ind w:left="24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55"/>
        </w:tabs>
        <w:ind w:left="28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275"/>
        </w:tabs>
        <w:ind w:left="32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95"/>
        </w:tabs>
        <w:ind w:left="36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15"/>
        </w:tabs>
        <w:ind w:left="4115" w:hanging="420"/>
      </w:pPr>
    </w:lvl>
  </w:abstractNum>
  <w:abstractNum w:abstractNumId="8">
    <w:nsid w:val="5F3543CB"/>
    <w:multiLevelType w:val="multilevel"/>
    <w:tmpl w:val="5F3543CB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9">
    <w:nsid w:val="5F631ABC"/>
    <w:multiLevelType w:val="multilevel"/>
    <w:tmpl w:val="5F631ABC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0">
    <w:nsid w:val="732F35F9"/>
    <w:multiLevelType w:val="multilevel"/>
    <w:tmpl w:val="732F35F9"/>
    <w:lvl w:ilvl="0" w:tentative="0">
      <w:start w:val="1"/>
      <w:numFmt w:val="decimal"/>
      <w:lvlText w:val="%1、"/>
      <w:lvlJc w:val="left"/>
      <w:pPr>
        <w:tabs>
          <w:tab w:val="left" w:pos="757"/>
        </w:tabs>
        <w:ind w:left="757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37"/>
        </w:tabs>
        <w:ind w:left="1237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57"/>
        </w:tabs>
        <w:ind w:left="1657" w:hanging="420"/>
      </w:pPr>
    </w:lvl>
    <w:lvl w:ilvl="3" w:tentative="0">
      <w:start w:val="1"/>
      <w:numFmt w:val="decimal"/>
      <w:lvlText w:val="%4."/>
      <w:lvlJc w:val="left"/>
      <w:pPr>
        <w:tabs>
          <w:tab w:val="left" w:pos="2077"/>
        </w:tabs>
        <w:ind w:left="207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97"/>
        </w:tabs>
        <w:ind w:left="249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17"/>
        </w:tabs>
        <w:ind w:left="2917" w:hanging="420"/>
      </w:pPr>
    </w:lvl>
    <w:lvl w:ilvl="6" w:tentative="0">
      <w:start w:val="1"/>
      <w:numFmt w:val="decimal"/>
      <w:lvlText w:val="%7."/>
      <w:lvlJc w:val="left"/>
      <w:pPr>
        <w:tabs>
          <w:tab w:val="left" w:pos="3337"/>
        </w:tabs>
        <w:ind w:left="333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57"/>
        </w:tabs>
        <w:ind w:left="375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77"/>
        </w:tabs>
        <w:ind w:left="4177" w:hanging="420"/>
      </w:pPr>
    </w:lvl>
  </w:abstractNum>
  <w:abstractNum w:abstractNumId="11">
    <w:nsid w:val="785C4636"/>
    <w:multiLevelType w:val="multilevel"/>
    <w:tmpl w:val="785C4636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wYThmNmM2ZGRmZDUyNmJmYjAzM2U2ODU1YzE2NzMifQ=="/>
    <w:docVar w:name="KSO_WPS_MARK_KEY" w:val="be699e84-7481-4dac-93e0-5a73021d7297"/>
  </w:docVars>
  <w:rsids>
    <w:rsidRoot w:val="4B841A8B"/>
    <w:rsid w:val="000B68C3"/>
    <w:rsid w:val="000C2A48"/>
    <w:rsid w:val="000D2CFE"/>
    <w:rsid w:val="00137411"/>
    <w:rsid w:val="001776BE"/>
    <w:rsid w:val="001A33DB"/>
    <w:rsid w:val="003E56D0"/>
    <w:rsid w:val="00435F36"/>
    <w:rsid w:val="004C0C67"/>
    <w:rsid w:val="00663A9F"/>
    <w:rsid w:val="006F420D"/>
    <w:rsid w:val="0075611B"/>
    <w:rsid w:val="007D4F6B"/>
    <w:rsid w:val="008853BF"/>
    <w:rsid w:val="008D0B6D"/>
    <w:rsid w:val="009C2B30"/>
    <w:rsid w:val="00A13B06"/>
    <w:rsid w:val="00AF760A"/>
    <w:rsid w:val="00BB0AF3"/>
    <w:rsid w:val="00BE633E"/>
    <w:rsid w:val="00CC3DDD"/>
    <w:rsid w:val="00DE1E5F"/>
    <w:rsid w:val="00DF1200"/>
    <w:rsid w:val="00E60B48"/>
    <w:rsid w:val="00EE12AC"/>
    <w:rsid w:val="00EF0C10"/>
    <w:rsid w:val="00EF69BC"/>
    <w:rsid w:val="00F37CF2"/>
    <w:rsid w:val="121C74E4"/>
    <w:rsid w:val="1F246A79"/>
    <w:rsid w:val="3D7C6518"/>
    <w:rsid w:val="4B841A8B"/>
    <w:rsid w:val="5DB13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exact"/>
      <w:ind w:firstLine="397"/>
    </w:pPr>
    <w:rPr>
      <w:rFonts w:eastAsia="宋体"/>
      <w:sz w:val="21"/>
      <w:szCs w:val="20"/>
    </w:rPr>
  </w:style>
  <w:style w:type="paragraph" w:styleId="3">
    <w:name w:val="Plain Text"/>
    <w:basedOn w:val="1"/>
    <w:qFormat/>
    <w:uiPriority w:val="0"/>
    <w:pPr>
      <w:adjustRightInd w:val="0"/>
      <w:snapToGrid w:val="0"/>
      <w:ind w:firstLine="200" w:firstLineChars="200"/>
    </w:pPr>
    <w:rPr>
      <w:rFonts w:ascii="宋体" w:hAnsi="Courier New" w:eastAsia="宋体" w:cs="Courier New"/>
      <w:sz w:val="21"/>
      <w:szCs w:val="21"/>
    </w:rPr>
  </w:style>
  <w:style w:type="paragraph" w:styleId="4">
    <w:name w:val="Balloon Text"/>
    <w:basedOn w:val="1"/>
    <w:link w:val="7"/>
    <w:uiPriority w:val="0"/>
    <w:rPr>
      <w:sz w:val="18"/>
      <w:szCs w:val="18"/>
    </w:rPr>
  </w:style>
  <w:style w:type="character" w:customStyle="1" w:styleId="7">
    <w:name w:val="批注框文本 字符"/>
    <w:basedOn w:val="6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F9B9CCA-31DC-4C30-B334-2CE334EACE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296</Words>
  <Characters>1691</Characters>
  <Lines>14</Lines>
  <Paragraphs>3</Paragraphs>
  <TotalTime>66</TotalTime>
  <ScaleCrop>false</ScaleCrop>
  <LinksUpToDate>false</LinksUpToDate>
  <CharactersWithSpaces>1984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2023-03-18T08:59:00Z</dcterms:created>
  <dc:creator>Administrator</dc:creator>
  <cp:lastModifiedBy>联想</cp:lastModifiedBy>
  <dcterms:modified xsi:type="dcterms:W3CDTF">2023-03-19T08:56:25Z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C9DCF548A3D74DA588C9499992A0F837</vt:lpwstr>
  </property>
</Properties>
</file>